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45BA4" w14:textId="5F74E85A"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89266D" w:rsidRPr="0089266D">
        <w:rPr>
          <w:rFonts w:ascii="Lato" w:eastAsia="Times New Roman" w:hAnsi="Lato" w:cs="Times New Roman"/>
          <w:b/>
          <w:color w:val="FF0000"/>
          <w:u w:val="single"/>
        </w:rPr>
        <w:t xml:space="preserve">1 </w:t>
      </w:r>
    </w:p>
    <w:p w14:paraId="23029CF7" w14:textId="3A755E25"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1 - </w:t>
      </w:r>
      <w:r w:rsidR="0023525B" w:rsidRPr="0023525B">
        <w:rPr>
          <w:rFonts w:ascii="Lato" w:eastAsia="Times New Roman" w:hAnsi="Lato" w:cs="Times New Roman"/>
          <w:b/>
          <w:u w:val="single"/>
        </w:rPr>
        <w:t xml:space="preserve">Revenue Requirements/Cost of Service Determination and Depreciation </w:t>
      </w:r>
    </w:p>
    <w:p w14:paraId="682CA6C0" w14:textId="77777777"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615ED4">
      <w:pPr>
        <w:pStyle w:val="BodyText"/>
        <w:ind w:left="1530" w:hanging="9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184EA32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F605B9"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77777777"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 submit its</w:t>
      </w:r>
      <w:r w:rsidRPr="00BB564F">
        <w:rPr>
          <w:rFonts w:ascii="Lato" w:hAnsi="Lato"/>
          <w:spacing w:val="-3"/>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3575D6FF"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1 (based on </w:t>
      </w:r>
      <w:r w:rsidR="00AF2AD8">
        <w:rPr>
          <w:rFonts w:ascii="Lato" w:hAnsi="Lato"/>
          <w:sz w:val="22"/>
          <w:szCs w:val="22"/>
        </w:rPr>
        <w:t xml:space="preserve">the </w:t>
      </w:r>
      <w:r w:rsidR="0023525B">
        <w:rPr>
          <w:rFonts w:ascii="Lato" w:hAnsi="Lato"/>
          <w:sz w:val="22"/>
          <w:szCs w:val="22"/>
        </w:rPr>
        <w:t xml:space="preserve">initial </w:t>
      </w:r>
      <w:r w:rsidR="00106289">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76B3D02E"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r w:rsidR="00A235FA">
              <w:rPr>
                <w:rFonts w:ascii="Lato" w:hAnsi="Lato"/>
                <w:b/>
                <w:spacing w:val="-1"/>
                <w:sz w:val="22"/>
                <w:szCs w:val="22"/>
              </w:rPr>
              <w:t xml:space="preserve"> only</w:t>
            </w:r>
          </w:p>
          <w:p w14:paraId="20BCEBAA" w14:textId="107B6A06" w:rsidR="00F91F36" w:rsidRPr="00E010A7" w:rsidRDefault="00F47082" w:rsidP="00E010A7">
            <w:pPr>
              <w:pStyle w:val="BodyText"/>
              <w:rPr>
                <w:rFonts w:ascii="Lato" w:hAnsi="Lato"/>
                <w:b/>
                <w:spacing w:val="-1"/>
                <w:sz w:val="22"/>
                <w:szCs w:val="22"/>
              </w:rPr>
            </w:pPr>
            <w:r w:rsidRPr="00E010A7">
              <w:rPr>
                <w:rFonts w:ascii="Lato" w:hAnsi="Lato"/>
                <w:b/>
                <w:spacing w:val="-1"/>
                <w:sz w:val="22"/>
                <w:szCs w:val="22"/>
              </w:rPr>
              <w:t>Category 1- Revenue Requirements/Cost of Service Determination and Depreciation</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21C91E0D" w14:textId="2EB1BDA3" w:rsidR="001770F3" w:rsidRDefault="004B5344" w:rsidP="00F605B9">
      <w:pPr>
        <w:pStyle w:val="BodyText"/>
        <w:ind w:left="119" w:right="117"/>
        <w:rPr>
          <w:rFonts w:ascii="Lato" w:hAnsi="Lato"/>
          <w:spacing w:val="-1"/>
          <w:sz w:val="22"/>
          <w:szCs w:val="22"/>
        </w:rPr>
      </w:pP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r>
        <w:rPr>
          <w:rFonts w:ascii="Lato" w:hAnsi="Lato"/>
          <w:spacing w:val="-1"/>
          <w:sz w:val="22"/>
          <w:szCs w:val="22"/>
        </w:rPr>
        <w:tab/>
      </w:r>
    </w:p>
    <w:p w14:paraId="408BD223" w14:textId="4C258E26" w:rsidR="00C937E0" w:rsidRDefault="00255644">
      <w:pPr>
        <w:pStyle w:val="BodyText"/>
        <w:ind w:left="119" w:right="117"/>
        <w:jc w:val="both"/>
        <w:rPr>
          <w:rFonts w:ascii="Lato" w:hAnsi="Lato"/>
          <w:spacing w:val="-1"/>
          <w:sz w:val="22"/>
          <w:szCs w:val="22"/>
        </w:rPr>
      </w:pPr>
      <w:r w:rsidRPr="00255644">
        <w:rPr>
          <w:rFonts w:ascii="Lato" w:hAnsi="Lato"/>
          <w:spacing w:val="-1"/>
          <w:sz w:val="22"/>
          <w:szCs w:val="22"/>
        </w:rPr>
        <w:t>Offerors may propose a percentage increase to the hourly rates should the contract period extend beyond 12 months.</w:t>
      </w:r>
    </w:p>
    <w:p w14:paraId="57CB2637" w14:textId="2785E0BA" w:rsidR="00255644" w:rsidRDefault="00255644">
      <w:pPr>
        <w:pStyle w:val="BodyText"/>
        <w:ind w:left="119" w:right="117"/>
        <w:jc w:val="both"/>
        <w:rPr>
          <w:rFonts w:ascii="Lato" w:hAnsi="Lato"/>
          <w:spacing w:val="-1"/>
          <w:sz w:val="22"/>
          <w:szCs w:val="22"/>
        </w:rPr>
      </w:pPr>
    </w:p>
    <w:p w14:paraId="560B03C1" w14:textId="22B84A16" w:rsidR="00255644" w:rsidRDefault="005F6027">
      <w:pPr>
        <w:pStyle w:val="BodyText"/>
        <w:ind w:left="119" w:right="117"/>
        <w:jc w:val="both"/>
        <w:rPr>
          <w:rFonts w:ascii="Lato" w:hAnsi="Lato"/>
          <w:spacing w:val="-1"/>
          <w:sz w:val="22"/>
          <w:szCs w:val="22"/>
        </w:rPr>
      </w:pPr>
      <w:r w:rsidRPr="005F6027">
        <w:rPr>
          <w:rFonts w:ascii="Lato" w:hAnsi="Lato"/>
          <w:spacing w:val="-1"/>
          <w:sz w:val="22"/>
          <w:szCs w:val="22"/>
        </w:rPr>
        <w:t>Price escalation rate post 12 months</w:t>
      </w:r>
      <w:r w:rsidRPr="005F6027">
        <w:rPr>
          <w:rFonts w:ascii="Lato" w:hAnsi="Lato"/>
          <w:spacing w:val="-1"/>
          <w:sz w:val="22"/>
          <w:szCs w:val="22"/>
        </w:rPr>
        <w:tab/>
      </w:r>
      <w:r w:rsidRPr="005F6027">
        <w:rPr>
          <w:rFonts w:ascii="Lato" w:hAnsi="Lato"/>
          <w:spacing w:val="-1"/>
          <w:sz w:val="22"/>
          <w:szCs w:val="22"/>
        </w:rPr>
        <w:tab/>
      </w:r>
      <w:r w:rsidRPr="005F6027">
        <w:rPr>
          <w:rFonts w:ascii="Lato" w:hAnsi="Lato"/>
          <w:spacing w:val="-1"/>
          <w:sz w:val="22"/>
          <w:szCs w:val="22"/>
        </w:rPr>
        <w:tab/>
      </w:r>
      <w:r w:rsidRPr="005F6027">
        <w:rPr>
          <w:rFonts w:ascii="Lato" w:hAnsi="Lato"/>
          <w:spacing w:val="-1"/>
          <w:sz w:val="22"/>
          <w:szCs w:val="22"/>
        </w:rPr>
        <w:tab/>
        <w:t>______________%</w:t>
      </w:r>
    </w:p>
    <w:p w14:paraId="4885AB6E" w14:textId="4B0E7A0B" w:rsidR="00255644" w:rsidRDefault="00255644">
      <w:pPr>
        <w:pStyle w:val="BodyText"/>
        <w:ind w:left="119" w:right="117"/>
        <w:jc w:val="both"/>
        <w:rPr>
          <w:rFonts w:ascii="Lato" w:hAnsi="Lato"/>
          <w:spacing w:val="-1"/>
          <w:sz w:val="22"/>
          <w:szCs w:val="22"/>
        </w:rPr>
      </w:pPr>
    </w:p>
    <w:p w14:paraId="056CE518" w14:textId="3D9D8F2E" w:rsidR="00255644" w:rsidRDefault="00255644">
      <w:pPr>
        <w:pStyle w:val="BodyText"/>
        <w:ind w:left="119" w:right="117"/>
        <w:jc w:val="both"/>
        <w:rPr>
          <w:rFonts w:ascii="Lato" w:hAnsi="Lato"/>
          <w:spacing w:val="-1"/>
          <w:sz w:val="22"/>
          <w:szCs w:val="22"/>
        </w:rPr>
      </w:pPr>
    </w:p>
    <w:p w14:paraId="608A99CC" w14:textId="77777777" w:rsidR="00255644" w:rsidRDefault="00255644">
      <w:pPr>
        <w:pStyle w:val="BodyText"/>
        <w:ind w:left="119" w:right="117"/>
        <w:jc w:val="both"/>
        <w:rPr>
          <w:rFonts w:ascii="Lato" w:hAnsi="Lato"/>
          <w:spacing w:val="-1"/>
          <w:sz w:val="22"/>
          <w:szCs w:val="22"/>
        </w:rPr>
      </w:pPr>
    </w:p>
    <w:p w14:paraId="71BCF2F6" w14:textId="31007479" w:rsidR="00CA09D6" w:rsidRDefault="00017C7D">
      <w:pPr>
        <w:pStyle w:val="BodyText"/>
        <w:ind w:left="119" w:right="117"/>
        <w:jc w:val="both"/>
        <w:rPr>
          <w:rFonts w:ascii="Lato" w:hAnsi="Lato"/>
          <w:spacing w:val="-1"/>
          <w:sz w:val="22"/>
          <w:szCs w:val="22"/>
        </w:rPr>
      </w:pPr>
      <w:r w:rsidRPr="00017C7D">
        <w:rPr>
          <w:rFonts w:ascii="Lato" w:hAnsi="Lato"/>
          <w:spacing w:val="-1"/>
          <w:sz w:val="22"/>
          <w:szCs w:val="22"/>
        </w:rPr>
        <w:t xml:space="preserve">The Offeror acknowledges and understands that </w:t>
      </w:r>
      <w:r w:rsidR="00EC6E83">
        <w:rPr>
          <w:rFonts w:ascii="Lato" w:hAnsi="Lato"/>
          <w:spacing w:val="-1"/>
          <w:sz w:val="22"/>
          <w:szCs w:val="22"/>
        </w:rPr>
        <w:t xml:space="preserve">this is a labor hour contract and </w:t>
      </w:r>
      <w:r w:rsidRPr="00017C7D">
        <w:rPr>
          <w:rFonts w:ascii="Lato" w:hAnsi="Lato"/>
          <w:spacing w:val="-1"/>
          <w:sz w:val="22"/>
          <w:szCs w:val="22"/>
        </w:rPr>
        <w:t>although staff members may change, the hourly rates associated with the labor categories above will remain fixed throughout the term of the contract</w:t>
      </w:r>
      <w:r w:rsidR="00EC6E83">
        <w:rPr>
          <w:rFonts w:ascii="Lato" w:hAnsi="Lato"/>
          <w:spacing w:val="-1"/>
          <w:sz w:val="22"/>
          <w:szCs w:val="22"/>
        </w:rPr>
        <w:t>. Except for reimbursable expenses, the Offeror’s hourly rates</w:t>
      </w:r>
      <w:r w:rsidR="00A235FA">
        <w:rPr>
          <w:rFonts w:ascii="Lato" w:hAnsi="Lato"/>
          <w:spacing w:val="-1"/>
          <w:sz w:val="22"/>
          <w:szCs w:val="22"/>
        </w:rPr>
        <w:t xml:space="preserve"> </w:t>
      </w:r>
      <w:r w:rsidRPr="00017C7D">
        <w:rPr>
          <w:rFonts w:ascii="Lato" w:hAnsi="Lato"/>
          <w:spacing w:val="-1"/>
          <w:sz w:val="22"/>
          <w:szCs w:val="22"/>
        </w:rPr>
        <w:t xml:space="preserve">are intended to be </w:t>
      </w:r>
      <w:r w:rsidR="00A235FA">
        <w:rPr>
          <w:rFonts w:ascii="Lato" w:hAnsi="Lato"/>
          <w:spacing w:val="-1"/>
          <w:sz w:val="22"/>
          <w:szCs w:val="22"/>
        </w:rPr>
        <w:t xml:space="preserve">the </w:t>
      </w:r>
      <w:r w:rsidRPr="00017C7D">
        <w:rPr>
          <w:rFonts w:ascii="Lato" w:hAnsi="Lato"/>
          <w:spacing w:val="-1"/>
          <w:sz w:val="22"/>
          <w:szCs w:val="22"/>
        </w:rPr>
        <w:t>Offeror’s sole compensation for work under the contract</w:t>
      </w:r>
      <w:r w:rsidR="00EC6E83">
        <w:rPr>
          <w:rFonts w:ascii="Lato" w:hAnsi="Lato"/>
          <w:spacing w:val="-1"/>
          <w:sz w:val="22"/>
          <w:szCs w:val="22"/>
        </w:rPr>
        <w:t>.</w:t>
      </w:r>
      <w:r w:rsidRPr="00017C7D">
        <w:rPr>
          <w:rFonts w:ascii="Lato" w:hAnsi="Lato"/>
          <w:spacing w:val="-1"/>
          <w:sz w:val="22"/>
          <w:szCs w:val="22"/>
        </w:rPr>
        <w:t xml:space="preserve"> </w:t>
      </w:r>
    </w:p>
    <w:p w14:paraId="5A7CE9D5" w14:textId="052371B7" w:rsidR="00EC6E83" w:rsidRDefault="00EC6E83">
      <w:pPr>
        <w:pStyle w:val="BodyText"/>
        <w:ind w:left="119" w:right="117"/>
        <w:jc w:val="both"/>
        <w:rPr>
          <w:rFonts w:ascii="Lato" w:hAnsi="Lato"/>
          <w:spacing w:val="-1"/>
          <w:sz w:val="22"/>
          <w:szCs w:val="22"/>
        </w:rPr>
      </w:pPr>
    </w:p>
    <w:p w14:paraId="6F57A7E8" w14:textId="33BFAD9D" w:rsidR="00EC6E83" w:rsidRDefault="00EC6E83" w:rsidP="00EC6E83">
      <w:pPr>
        <w:autoSpaceDE w:val="0"/>
        <w:autoSpaceDN w:val="0"/>
        <w:rPr>
          <w:rFonts w:ascii="Lato" w:eastAsia="Lato" w:hAnsi="Lato" w:cs="Lato"/>
          <w:lang w:bidi="en-US"/>
        </w:rPr>
      </w:pPr>
      <w:r>
        <w:rPr>
          <w:rFonts w:ascii="Lato" w:eastAsia="Lato" w:hAnsi="Lato" w:cs="Lato"/>
          <w:lang w:bidi="en-US"/>
        </w:rPr>
        <w:t xml:space="preserve">“Reimbursable Expenses” means reasonable out-of-pocket expenses for meals, taxis, long distance telephone, facsimile, and messenger that are required in the performance of the contracted work. The Offeror further acknowledges and understands that the cost of reimbursable expenses shall be without markup and within the limits of the US Government, General Services Administration rates and per diems.  </w:t>
      </w:r>
      <w:r w:rsidRPr="00F605B9">
        <w:rPr>
          <w:rFonts w:ascii="Lato" w:eastAsia="Lato" w:hAnsi="Lato" w:cs="Lato"/>
          <w:lang w:bidi="en-US"/>
        </w:rPr>
        <w:t xml:space="preserve">The Commission </w:t>
      </w:r>
      <w:r w:rsidR="00A235FA" w:rsidRPr="00F605B9">
        <w:rPr>
          <w:rFonts w:ascii="Lato" w:eastAsia="Lato" w:hAnsi="Lato" w:cs="Lato"/>
          <w:lang w:bidi="en-US"/>
        </w:rPr>
        <w:t>will include a cost-reimbursement component in the contract</w:t>
      </w:r>
      <w:r w:rsidR="00F605B9" w:rsidRPr="00F605B9">
        <w:rPr>
          <w:rFonts w:ascii="Lato" w:eastAsia="Lato" w:hAnsi="Lato" w:cs="Lato"/>
          <w:lang w:bidi="en-US"/>
        </w:rPr>
        <w:t xml:space="preserve">. </w:t>
      </w:r>
      <w:r w:rsidR="00395365" w:rsidRPr="00F605B9">
        <w:rPr>
          <w:rFonts w:ascii="Lato" w:eastAsia="Lato" w:hAnsi="Lato" w:cs="Lato"/>
          <w:lang w:bidi="en-US"/>
        </w:rPr>
        <w:t>The Contractor</w:t>
      </w:r>
      <w:r w:rsidRPr="00F605B9">
        <w:rPr>
          <w:rFonts w:ascii="Lato" w:eastAsia="Lato" w:hAnsi="Lato" w:cs="Lato"/>
          <w:lang w:bidi="en-US"/>
        </w:rPr>
        <w:t xml:space="preserve"> </w:t>
      </w:r>
      <w:r w:rsidR="00F605B9" w:rsidRPr="00F605B9">
        <w:rPr>
          <w:rFonts w:ascii="Lato" w:eastAsia="Lato" w:hAnsi="Lato" w:cs="Lato"/>
          <w:lang w:bidi="en-US"/>
        </w:rPr>
        <w:t>will be</w:t>
      </w:r>
      <w:r w:rsidR="00F605B9" w:rsidRPr="00F605B9">
        <w:t xml:space="preserve"> </w:t>
      </w:r>
      <w:r w:rsidR="00F605B9" w:rsidRPr="00F605B9">
        <w:rPr>
          <w:rFonts w:ascii="Lato" w:eastAsia="Lato" w:hAnsi="Lato" w:cs="Lato"/>
          <w:lang w:bidi="en-US"/>
        </w:rPr>
        <w:t>reimburse</w:t>
      </w:r>
      <w:r w:rsidR="00F605B9">
        <w:rPr>
          <w:rFonts w:ascii="Lato" w:eastAsia="Lato" w:hAnsi="Lato" w:cs="Lato"/>
          <w:lang w:bidi="en-US"/>
        </w:rPr>
        <w:t>d</w:t>
      </w:r>
      <w:r w:rsidR="00F605B9" w:rsidRPr="00F605B9">
        <w:rPr>
          <w:rFonts w:ascii="Lato" w:eastAsia="Lato" w:hAnsi="Lato" w:cs="Lato"/>
          <w:lang w:bidi="en-US"/>
        </w:rPr>
        <w:t xml:space="preserve"> </w:t>
      </w:r>
      <w:r w:rsidRPr="00F605B9">
        <w:rPr>
          <w:rFonts w:ascii="Lato" w:eastAsia="Lato" w:hAnsi="Lato" w:cs="Lato"/>
          <w:lang w:bidi="en-US"/>
        </w:rPr>
        <w:t>for documented Reimbursable Expenses billed promptly and presented in reasonable detail and previously approved by the Contract Administrator.</w:t>
      </w:r>
      <w:r>
        <w:rPr>
          <w:rFonts w:ascii="Lato" w:eastAsia="Lato" w:hAnsi="Lato" w:cs="Lato"/>
          <w:lang w:bidi="en-US"/>
        </w:rPr>
        <w:t xml:space="preserve"> </w:t>
      </w:r>
    </w:p>
    <w:p w14:paraId="10D162F9" w14:textId="77777777" w:rsidR="00EC6E83" w:rsidRDefault="00EC6E83" w:rsidP="00EC6E83">
      <w:pPr>
        <w:autoSpaceDE w:val="0"/>
        <w:autoSpaceDN w:val="0"/>
        <w:rPr>
          <w:rFonts w:ascii="Lato" w:eastAsia="Lato" w:hAnsi="Lato" w:cs="Lato"/>
          <w:lang w:bidi="en-US"/>
        </w:rPr>
      </w:pP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proofErr w:type="gramStart"/>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2DFBE20A" w:rsidR="00AB62B0" w:rsidRPr="00BB564F" w:rsidRDefault="00835A33">
      <w:pPr>
        <w:pStyle w:val="BodyText"/>
        <w:tabs>
          <w:tab w:val="left" w:pos="4079"/>
        </w:tabs>
        <w:ind w:left="119" w:right="5519"/>
        <w:jc w:val="both"/>
        <w:rPr>
          <w:rFonts w:ascii="Lato" w:hAnsi="Lato"/>
          <w:sz w:val="22"/>
          <w:szCs w:val="22"/>
          <w:u w:val="single" w:color="000000"/>
        </w:rPr>
      </w:pPr>
      <w:r>
        <w:rPr>
          <w:rFonts w:ascii="Lato" w:hAnsi="Lato"/>
          <w:spacing w:val="-1"/>
          <w:sz w:val="22"/>
          <w:szCs w:val="22"/>
        </w:rPr>
        <w:t>Title</w:t>
      </w:r>
      <w:r w:rsidR="00C61BEF" w:rsidRPr="00BB564F">
        <w:rPr>
          <w:rFonts w:ascii="Lato" w:hAnsi="Lato"/>
          <w:spacing w:val="-1"/>
          <w:sz w:val="22"/>
          <w:szCs w:val="22"/>
        </w:rPr>
        <w:t>:</w:t>
      </w:r>
      <w:r w:rsidR="00C61BEF" w:rsidRPr="00BB564F">
        <w:rPr>
          <w:rFonts w:ascii="Lato" w:hAnsi="Lato"/>
          <w:sz w:val="22"/>
          <w:szCs w:val="22"/>
        </w:rPr>
        <w:t xml:space="preserve">      </w:t>
      </w:r>
      <w:r w:rsidR="00C61BEF" w:rsidRPr="00BB564F">
        <w:rPr>
          <w:rFonts w:ascii="Lato" w:hAnsi="Lato"/>
          <w:spacing w:val="-5"/>
          <w:sz w:val="22"/>
          <w:szCs w:val="22"/>
        </w:rPr>
        <w:t xml:space="preserve"> </w:t>
      </w:r>
      <w:r w:rsidR="00C61BEF" w:rsidRPr="00BB564F">
        <w:rPr>
          <w:rFonts w:ascii="Lato" w:hAnsi="Lato"/>
          <w:sz w:val="22"/>
          <w:szCs w:val="22"/>
          <w:u w:val="single" w:color="000000"/>
        </w:rPr>
        <w:t xml:space="preserve"> </w:t>
      </w:r>
      <w:r w:rsidR="00C61BEF"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76EF" w14:textId="77777777" w:rsidR="005C58BB" w:rsidRDefault="005C58BB" w:rsidP="00B51BFF">
      <w:r>
        <w:separator/>
      </w:r>
    </w:p>
  </w:endnote>
  <w:endnote w:type="continuationSeparator" w:id="0">
    <w:p w14:paraId="42391C18" w14:textId="77777777" w:rsidR="005C58BB" w:rsidRDefault="005C58BB"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7332" w14:textId="77777777" w:rsidR="005C58BB" w:rsidRDefault="005C58BB" w:rsidP="00B51BFF">
      <w:r>
        <w:separator/>
      </w:r>
    </w:p>
  </w:footnote>
  <w:footnote w:type="continuationSeparator" w:id="0">
    <w:p w14:paraId="5B8515BB" w14:textId="77777777" w:rsidR="005C58BB" w:rsidRDefault="005C58BB"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E898" w14:textId="7B94E3A3" w:rsidR="00835A33" w:rsidRPr="00615ED4" w:rsidRDefault="00615ED4">
    <w:pPr>
      <w:pStyle w:val="Header"/>
      <w:rPr>
        <w:b/>
        <w:bCs/>
        <w:color w:val="FF0000"/>
      </w:rPr>
    </w:pPr>
    <w:r w:rsidRPr="00615ED4">
      <w:rPr>
        <w:b/>
        <w:bCs/>
        <w:color w:val="FF0000"/>
      </w:rPr>
      <w:t>Revised on 7/20/2022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jA1sDQ1MjQ0tTRX0lEKTi0uzszPAykwqgUATCy68ywAAAA="/>
  </w:docVars>
  <w:rsids>
    <w:rsidRoot w:val="00CA09D6"/>
    <w:rsid w:val="00017C7D"/>
    <w:rsid w:val="00035F93"/>
    <w:rsid w:val="00063197"/>
    <w:rsid w:val="00097066"/>
    <w:rsid w:val="000C4676"/>
    <w:rsid w:val="000D0F56"/>
    <w:rsid w:val="000D3694"/>
    <w:rsid w:val="000D6549"/>
    <w:rsid w:val="00106289"/>
    <w:rsid w:val="00117F9D"/>
    <w:rsid w:val="00120768"/>
    <w:rsid w:val="00126BE6"/>
    <w:rsid w:val="00140BE8"/>
    <w:rsid w:val="001733D8"/>
    <w:rsid w:val="001770F3"/>
    <w:rsid w:val="001B1637"/>
    <w:rsid w:val="001B6C9D"/>
    <w:rsid w:val="001D775D"/>
    <w:rsid w:val="00207906"/>
    <w:rsid w:val="0023525B"/>
    <w:rsid w:val="00236B87"/>
    <w:rsid w:val="00255644"/>
    <w:rsid w:val="00262BA5"/>
    <w:rsid w:val="002A359D"/>
    <w:rsid w:val="002B1BC2"/>
    <w:rsid w:val="002C078D"/>
    <w:rsid w:val="002E2E1E"/>
    <w:rsid w:val="002E6202"/>
    <w:rsid w:val="00363E5E"/>
    <w:rsid w:val="003725C9"/>
    <w:rsid w:val="00395365"/>
    <w:rsid w:val="003A7348"/>
    <w:rsid w:val="003E78E6"/>
    <w:rsid w:val="003F7CFF"/>
    <w:rsid w:val="004053E0"/>
    <w:rsid w:val="00455EFB"/>
    <w:rsid w:val="00471197"/>
    <w:rsid w:val="004B1AF6"/>
    <w:rsid w:val="004B5344"/>
    <w:rsid w:val="004C6CB0"/>
    <w:rsid w:val="004E2261"/>
    <w:rsid w:val="00530967"/>
    <w:rsid w:val="00531224"/>
    <w:rsid w:val="0053530E"/>
    <w:rsid w:val="00563931"/>
    <w:rsid w:val="0057736E"/>
    <w:rsid w:val="005846EA"/>
    <w:rsid w:val="00594552"/>
    <w:rsid w:val="005C58BB"/>
    <w:rsid w:val="005D2627"/>
    <w:rsid w:val="005D6332"/>
    <w:rsid w:val="005E65DC"/>
    <w:rsid w:val="005F036B"/>
    <w:rsid w:val="005F0E0D"/>
    <w:rsid w:val="005F6027"/>
    <w:rsid w:val="00604F4E"/>
    <w:rsid w:val="00606FD2"/>
    <w:rsid w:val="00615ED4"/>
    <w:rsid w:val="006237F9"/>
    <w:rsid w:val="00637F32"/>
    <w:rsid w:val="006C46A3"/>
    <w:rsid w:val="006C6DBC"/>
    <w:rsid w:val="006D5CEC"/>
    <w:rsid w:val="006E420E"/>
    <w:rsid w:val="006F32C8"/>
    <w:rsid w:val="00731722"/>
    <w:rsid w:val="0073744F"/>
    <w:rsid w:val="00791107"/>
    <w:rsid w:val="007B0F13"/>
    <w:rsid w:val="007C77D8"/>
    <w:rsid w:val="00806F18"/>
    <w:rsid w:val="00810672"/>
    <w:rsid w:val="00817D54"/>
    <w:rsid w:val="00826B53"/>
    <w:rsid w:val="00835A33"/>
    <w:rsid w:val="0085189F"/>
    <w:rsid w:val="0089266D"/>
    <w:rsid w:val="00892C35"/>
    <w:rsid w:val="008B05BF"/>
    <w:rsid w:val="008B1E53"/>
    <w:rsid w:val="008C2932"/>
    <w:rsid w:val="008D4F8B"/>
    <w:rsid w:val="008E63B4"/>
    <w:rsid w:val="009019B5"/>
    <w:rsid w:val="009122F6"/>
    <w:rsid w:val="00925DF0"/>
    <w:rsid w:val="00926F89"/>
    <w:rsid w:val="009848BE"/>
    <w:rsid w:val="009B733A"/>
    <w:rsid w:val="009C66A5"/>
    <w:rsid w:val="009D050E"/>
    <w:rsid w:val="009D118E"/>
    <w:rsid w:val="009E216B"/>
    <w:rsid w:val="00A018E1"/>
    <w:rsid w:val="00A16438"/>
    <w:rsid w:val="00A235FA"/>
    <w:rsid w:val="00A30CB2"/>
    <w:rsid w:val="00A315CD"/>
    <w:rsid w:val="00A3220A"/>
    <w:rsid w:val="00A46AD9"/>
    <w:rsid w:val="00A65109"/>
    <w:rsid w:val="00A7516F"/>
    <w:rsid w:val="00A901C9"/>
    <w:rsid w:val="00AB62B0"/>
    <w:rsid w:val="00AD283E"/>
    <w:rsid w:val="00AE296F"/>
    <w:rsid w:val="00AF2AD8"/>
    <w:rsid w:val="00B125C1"/>
    <w:rsid w:val="00B15E8F"/>
    <w:rsid w:val="00B51BFF"/>
    <w:rsid w:val="00B70464"/>
    <w:rsid w:val="00B83F18"/>
    <w:rsid w:val="00B87812"/>
    <w:rsid w:val="00BA7C87"/>
    <w:rsid w:val="00BB564F"/>
    <w:rsid w:val="00BC1C33"/>
    <w:rsid w:val="00BC516B"/>
    <w:rsid w:val="00C21563"/>
    <w:rsid w:val="00C61BEF"/>
    <w:rsid w:val="00C937E0"/>
    <w:rsid w:val="00CA09D6"/>
    <w:rsid w:val="00D06AD8"/>
    <w:rsid w:val="00D1342E"/>
    <w:rsid w:val="00D1353D"/>
    <w:rsid w:val="00D319C1"/>
    <w:rsid w:val="00D31C8C"/>
    <w:rsid w:val="00D53F56"/>
    <w:rsid w:val="00D60031"/>
    <w:rsid w:val="00D76F4E"/>
    <w:rsid w:val="00DB25C8"/>
    <w:rsid w:val="00E010A7"/>
    <w:rsid w:val="00EB51DD"/>
    <w:rsid w:val="00EC65CC"/>
    <w:rsid w:val="00EC6E83"/>
    <w:rsid w:val="00ED3B74"/>
    <w:rsid w:val="00F07DA8"/>
    <w:rsid w:val="00F337E2"/>
    <w:rsid w:val="00F47082"/>
    <w:rsid w:val="00F50BC4"/>
    <w:rsid w:val="00F605B9"/>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235FA"/>
    <w:rPr>
      <w:sz w:val="16"/>
      <w:szCs w:val="16"/>
    </w:rPr>
  </w:style>
  <w:style w:type="paragraph" w:styleId="CommentText">
    <w:name w:val="annotation text"/>
    <w:basedOn w:val="Normal"/>
    <w:link w:val="CommentTextChar"/>
    <w:uiPriority w:val="99"/>
    <w:semiHidden/>
    <w:unhideWhenUsed/>
    <w:rsid w:val="00A235FA"/>
    <w:rPr>
      <w:sz w:val="20"/>
      <w:szCs w:val="20"/>
    </w:rPr>
  </w:style>
  <w:style w:type="character" w:customStyle="1" w:styleId="CommentTextChar">
    <w:name w:val="Comment Text Char"/>
    <w:basedOn w:val="DefaultParagraphFont"/>
    <w:link w:val="CommentText"/>
    <w:uiPriority w:val="99"/>
    <w:semiHidden/>
    <w:rsid w:val="00A235FA"/>
    <w:rPr>
      <w:sz w:val="20"/>
      <w:szCs w:val="20"/>
    </w:rPr>
  </w:style>
  <w:style w:type="paragraph" w:styleId="CommentSubject">
    <w:name w:val="annotation subject"/>
    <w:basedOn w:val="CommentText"/>
    <w:next w:val="CommentText"/>
    <w:link w:val="CommentSubjectChar"/>
    <w:uiPriority w:val="99"/>
    <w:semiHidden/>
    <w:unhideWhenUsed/>
    <w:rsid w:val="00A235FA"/>
    <w:rPr>
      <w:b/>
      <w:bCs/>
    </w:rPr>
  </w:style>
  <w:style w:type="character" w:customStyle="1" w:styleId="CommentSubjectChar">
    <w:name w:val="Comment Subject Char"/>
    <w:basedOn w:val="CommentTextChar"/>
    <w:link w:val="CommentSubject"/>
    <w:uiPriority w:val="99"/>
    <w:semiHidden/>
    <w:rsid w:val="00A235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675</Words>
  <Characters>3865</Characters>
  <Application>Microsoft Office Word</Application>
  <DocSecurity>0</DocSecurity>
  <Lines>148</Lines>
  <Paragraphs>90</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3</cp:revision>
  <cp:lastPrinted>2017-07-25T19:05:00Z</cp:lastPrinted>
  <dcterms:created xsi:type="dcterms:W3CDTF">2022-07-21T19:22:00Z</dcterms:created>
  <dcterms:modified xsi:type="dcterms:W3CDTF">2022-07-21T19:25:00Z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